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spacing w:lineRule="auto" w:line="240" w:after="0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</w:t>
      </w:r>
      <w:r>
        <w:rPr>
          <w:rFonts w:ascii="Times New Roman CYR" w:hAnsi="Times New Roman CYR" w:cs="Times New Roman CYR"/>
          <w:sz w:val="28"/>
          <w:szCs w:val="28"/>
        </w:rPr>
        <w:t xml:space="preserve">риложение </w:t>
      </w:r>
      <w:r>
        <w:rPr>
          <w:rFonts w:ascii="Times New Roman CYR" w:hAnsi="Times New Roman CYR" w:cs="Times New Roman CYR"/>
          <w:sz w:val="28"/>
          <w:szCs w:val="28"/>
        </w:rPr>
        <w:t xml:space="preserve">3</w:t>
      </w:r>
      <w:r/>
    </w:p>
    <w:p>
      <w:pPr>
        <w:ind w:left="5103" w:firstLine="560"/>
        <w:spacing w:lineRule="auto" w:line="240" w:after="0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ind w:left="5103"/>
        <w:spacing w:lineRule="auto" w:line="240" w:after="0"/>
        <w:widowControl w:val="o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 административному регламенту</w:t>
      </w:r>
      <w:r/>
    </w:p>
    <w:p>
      <w:pPr>
        <w:ind w:left="5103"/>
        <w:jc w:val="both"/>
        <w:spacing w:lineRule="auto" w:line="240" w:after="0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предоставления муниципальной услуги </w:t>
      </w:r>
      <w:r/>
      <w:r>
        <w:rPr>
          <w:rFonts w:ascii="Times New Roman" w:hAnsi="Times New Roman" w:cs="Times New Roman" w:eastAsia="Times New Roman" w:eastAsiaTheme="minorEastAsia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4820"/>
        <w:jc w:val="both"/>
        <w:spacing w:lineRule="auto" w:line="240" w:after="0"/>
      </w:pPr>
      <w:r>
        <w:rPr>
          <w:rFonts w:eastAsiaTheme="minorEastAsia"/>
          <w:sz w:val="28"/>
          <w:szCs w:val="28"/>
        </w:rPr>
      </w: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5103"/>
        <w:spacing w:lineRule="auto" w:line="240" w:after="0"/>
        <w:rPr>
          <w:rFonts w:cs="Times New Roman"/>
          <w:sz w:val="28"/>
          <w:szCs w:val="28"/>
        </w:rPr>
      </w:pPr>
      <w:r>
        <w:rPr>
          <w:rFonts w:eastAsiaTheme="minorEastAsia"/>
        </w:rPr>
      </w:r>
    </w:p>
    <w:p>
      <w:pPr>
        <w:jc w:val="center"/>
        <w:spacing w:lineRule="auto" w:line="240" w:after="0"/>
        <w:rPr>
          <w:color w:val="22272F"/>
          <w:sz w:val="28"/>
          <w:szCs w:val="28"/>
        </w:rPr>
      </w:pPr>
      <w:r>
        <w:rPr>
          <w:rFonts w:eastAsiaTheme="minorEastAsia"/>
          <w:color w:val="22272F"/>
          <w:sz w:val="28"/>
          <w:szCs w:val="28"/>
        </w:rPr>
        <w:t xml:space="preserve">И</w:t>
      </w:r>
      <w:r>
        <w:rPr>
          <w:rFonts w:eastAsiaTheme="minorEastAsia"/>
          <w:color w:val="22272F"/>
          <w:sz w:val="28"/>
          <w:szCs w:val="28"/>
        </w:rPr>
        <w:t xml:space="preserve">счерпывающий перечень документов, необходимых для предоставления муниципа</w:t>
      </w:r>
      <w:r>
        <w:rPr>
          <w:rFonts w:eastAsiaTheme="minorEastAsia"/>
          <w:color w:val="22272F"/>
          <w:sz w:val="28"/>
          <w:szCs w:val="28"/>
        </w:rPr>
        <w:t xml:space="preserve">льной услуги</w:t>
      </w:r>
      <w:r>
        <w:rPr>
          <w:rFonts w:eastAsiaTheme="minorEastAsia"/>
          <w:color w:val="22272F"/>
          <w:sz w:val="28"/>
          <w:szCs w:val="28"/>
        </w:rPr>
        <w:t xml:space="preserve"> </w:t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color w:val="22272F"/>
          <w:sz w:val="28"/>
          <w:szCs w:val="28"/>
        </w:rPr>
      </w:pPr>
      <w:r>
        <w:rPr>
          <w:rFonts w:eastAsiaTheme="minorEastAsia"/>
          <w:color w:val="22272F"/>
          <w:sz w:val="28"/>
          <w:szCs w:val="28"/>
        </w:rPr>
      </w:r>
      <w:r>
        <w:rPr>
          <w:rFonts w:eastAsiaTheme="minorEastAsia"/>
        </w:rPr>
      </w:r>
    </w:p>
    <w:tbl>
      <w:tblPr>
        <w:tblStyle w:val="678"/>
        <w:tblW w:w="0" w:type="auto"/>
        <w:tblLook w:val="04A0" w:firstRow="1" w:lastRow="0" w:firstColumn="1" w:lastColumn="0" w:noHBand="0" w:noVBand="1"/>
      </w:tblPr>
      <w:tblGrid>
        <w:gridCol w:w="602"/>
        <w:gridCol w:w="1993"/>
        <w:gridCol w:w="2787"/>
        <w:gridCol w:w="4247"/>
      </w:tblGrid>
      <w:tr>
        <w:trPr/>
        <w:tc>
          <w:tcPr>
            <w:tcW w:w="602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№ п/п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Идентификаторы категорий (признаков) Заявителей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и требования к их предоставлению</w:t>
            </w:r>
            <w:r/>
          </w:p>
        </w:tc>
        <w:tc>
          <w:tcPr>
            <w:tcW w:w="4247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подачи документов</w:t>
            </w:r>
            <w:r/>
          </w:p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вид документа  </w:t>
            </w:r>
            <w:r/>
          </w:p>
        </w:tc>
      </w:tr>
      <w:tr>
        <w:trPr/>
        <w:tc>
          <w:tcPr>
            <w:tcW w:w="602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1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/>
          </w:p>
        </w:tc>
        <w:tc>
          <w:tcPr>
            <w:tcW w:w="4247" w:type="dxa"/>
            <w:textDirection w:val="lrTb"/>
            <w:noWrap w:val="false"/>
          </w:tcPr>
          <w:p>
            <w:pPr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/>
          </w:p>
        </w:tc>
      </w:tr>
      <w:tr>
        <w:trPr/>
        <w:tc>
          <w:tcPr>
            <w:gridSpan w:val="4"/>
            <w:tcW w:w="9629" w:type="dxa"/>
            <w:textDirection w:val="lrTb"/>
            <w:noWrap w:val="false"/>
          </w:tcPr>
          <w:p>
            <w:pPr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Исчерпывающий перечень документов, необходимых для предоставления </w:t>
            </w:r>
            <w:r>
              <w:rPr>
                <w:sz w:val="24"/>
                <w:szCs w:val="24"/>
              </w:rPr>
              <w:t xml:space="preserve">Муниципальной у</w:t>
            </w:r>
            <w:r>
              <w:rPr>
                <w:sz w:val="24"/>
                <w:szCs w:val="24"/>
              </w:rPr>
              <w:t xml:space="preserve">слуги, которые </w:t>
            </w:r>
            <w:r>
              <w:rPr>
                <w:sz w:val="24"/>
                <w:szCs w:val="24"/>
              </w:rPr>
              <w:t xml:space="preserve">з</w:t>
            </w:r>
            <w:r>
              <w:rPr>
                <w:sz w:val="24"/>
                <w:szCs w:val="24"/>
              </w:rPr>
              <w:t xml:space="preserve">аявитель должен представить самостоятельно</w:t>
            </w:r>
            <w:r/>
          </w:p>
        </w:tc>
      </w:tr>
      <w:tr>
        <w:trPr/>
        <w:tc>
          <w:tcPr>
            <w:tcW w:w="602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1</w:t>
            </w:r>
            <w:r>
              <w:rPr>
                <w:color w:val="22272F"/>
                <w:sz w:val="24"/>
                <w:szCs w:val="24"/>
              </w:rPr>
              <w:t xml:space="preserve">.1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1А-4А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jc w:val="both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заявление</w:t>
            </w:r>
            <w:r>
              <w:rPr>
                <w:color w:val="22272F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1 экземпляр</w:t>
            </w:r>
            <w:r/>
          </w:p>
        </w:tc>
        <w:tc>
          <w:tcPr>
            <w:tcW w:w="4247" w:type="dxa"/>
            <w:textDirection w:val="lrTb"/>
            <w:noWrap w:val="false"/>
          </w:tcPr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>
              <w:rPr>
                <w:sz w:val="24"/>
                <w:szCs w:val="24"/>
              </w:rPr>
              <w:t xml:space="preserve">подлинник </w:t>
            </w:r>
            <w:r>
              <w:rPr>
                <w:sz w:val="24"/>
                <w:szCs w:val="24"/>
              </w:rPr>
              <w:t xml:space="preserve">на бумажном носителе в </w:t>
            </w:r>
            <w:r>
              <w:rPr>
                <w:sz w:val="24"/>
                <w:szCs w:val="24"/>
              </w:rPr>
              <w:t xml:space="preserve">Управление</w:t>
            </w:r>
            <w:r>
              <w:rPr>
                <w:sz w:val="24"/>
                <w:szCs w:val="24"/>
              </w:rPr>
              <w:t xml:space="preserve">;</w:t>
            </w:r>
            <w:r/>
          </w:p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 xml:space="preserve">подлинник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бумажном носителе в МФЦ;</w:t>
            </w:r>
            <w:r/>
          </w:p>
          <w:p>
            <w:pPr>
              <w:jc w:val="both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электронная форма Заявления на Едином портале, Региональном портале</w:t>
            </w:r>
            <w:r/>
          </w:p>
        </w:tc>
      </w:tr>
      <w:tr>
        <w:trPr/>
        <w:tc>
          <w:tcPr>
            <w:tcW w:w="60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1.2</w:t>
            </w:r>
            <w:r>
              <w:rPr>
                <w:color w:val="22272F"/>
                <w:sz w:val="24"/>
                <w:szCs w:val="24"/>
              </w:rPr>
            </w:r>
          </w:p>
        </w:tc>
        <w:tc>
          <w:tcPr>
            <w:tcW w:w="1993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</w:r>
            <w:r>
              <w:rPr>
                <w:color w:val="22272F"/>
                <w:sz w:val="24"/>
                <w:szCs w:val="24"/>
              </w:rPr>
              <w:t xml:space="preserve">2А-</w:t>
            </w:r>
            <w:r>
              <w:rPr>
                <w:color w:val="22272F"/>
                <w:sz w:val="24"/>
                <w:szCs w:val="24"/>
              </w:rPr>
              <w:t xml:space="preserve">4А</w:t>
            </w:r>
            <w:r/>
            <w:r>
              <w:rPr>
                <w:color w:val="22272F"/>
                <w:sz w:val="24"/>
                <w:szCs w:val="24"/>
              </w:rPr>
            </w:r>
            <w:r>
              <w:rPr>
                <w:color w:val="22272F"/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jc w:val="left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документ, удостоверяющий личность, либо личность представителя физического или юридического лица,                            1 экземпляр</w:t>
            </w:r>
            <w:r>
              <w:rPr>
                <w:color w:val="22272F"/>
                <w:sz w:val="24"/>
                <w:szCs w:val="24"/>
              </w:rPr>
            </w:r>
          </w:p>
        </w:tc>
        <w:tc>
          <w:tcPr>
            <w:tcW w:w="4247" w:type="dxa"/>
            <w:vMerge w:val="restart"/>
            <w:textDirection w:val="lrTb"/>
            <w:noWrap w:val="false"/>
          </w:tcPr>
          <w:p>
            <w:pPr>
              <w:pStyle w:val="679"/>
              <w:jc w:val="both"/>
            </w:pPr>
            <w:r>
              <w:rPr>
                <w:sz w:val="24"/>
                <w:szCs w:val="24"/>
              </w:rPr>
              <w:t xml:space="preserve">1) копию документа  в </w:t>
            </w:r>
            <w:r>
              <w:rPr>
                <w:sz w:val="24"/>
                <w:szCs w:val="24"/>
              </w:rPr>
              <w:t xml:space="preserve">Управление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679"/>
              <w:jc w:val="both"/>
            </w:pPr>
            <w:r>
              <w:rPr>
                <w:sz w:val="24"/>
                <w:szCs w:val="24"/>
              </w:rPr>
              <w:t xml:space="preserve">2) копию документа в МФЦ;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679"/>
              <w:jc w:val="both"/>
              <w:rPr>
                <w:color w:val="22272F"/>
              </w:rPr>
            </w:pPr>
            <w:r>
              <w:rPr>
                <w:sz w:val="24"/>
                <w:szCs w:val="24"/>
              </w:rPr>
              <w:t xml:space="preserve">3) в электронном виде в формате переносимого документа (PDF) на Едином портале, Региональном портале</w:t>
            </w:r>
            <w:r/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02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1.</w:t>
            </w:r>
            <w:r>
              <w:rPr>
                <w:color w:val="22272F"/>
                <w:sz w:val="24"/>
                <w:szCs w:val="24"/>
              </w:rPr>
              <w:t xml:space="preserve">3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2А</w:t>
            </w:r>
            <w:r>
              <w:rPr>
                <w:color w:val="22272F"/>
                <w:sz w:val="24"/>
                <w:szCs w:val="24"/>
              </w:rPr>
              <w:t xml:space="preserve">, </w:t>
            </w:r>
            <w:r>
              <w:rPr>
                <w:color w:val="22272F"/>
                <w:sz w:val="24"/>
                <w:szCs w:val="24"/>
              </w:rPr>
              <w:t xml:space="preserve">4А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</w:r>
            <w:r>
              <w:rPr>
                <w:color w:val="22272F"/>
                <w:sz w:val="24"/>
                <w:szCs w:val="24"/>
              </w:rPr>
              <w:t xml:space="preserve">документ, удостоверяющий права (полномочия) представителя физического или юридического лица, если с заявлением обращается представитель заявителя,                           1 экземпляр</w:t>
            </w:r>
            <w:r>
              <w:rPr>
                <w:color w:val="22272F"/>
                <w:sz w:val="24"/>
                <w:szCs w:val="24"/>
              </w:rPr>
            </w:r>
            <w:r/>
          </w:p>
        </w:tc>
        <w:tc>
          <w:tcPr>
            <w:tcW w:w="4247" w:type="dxa"/>
            <w:textDirection w:val="lrTb"/>
            <w:noWrap w:val="false"/>
          </w:tcPr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копию документа  в </w:t>
            </w:r>
            <w:r>
              <w:rPr>
                <w:sz w:val="24"/>
                <w:szCs w:val="24"/>
              </w:rPr>
              <w:t xml:space="preserve">Управление</w:t>
            </w:r>
            <w:r>
              <w:rPr>
                <w:sz w:val="24"/>
                <w:szCs w:val="24"/>
              </w:rPr>
              <w:t xml:space="preserve">;</w:t>
            </w:r>
            <w:r/>
          </w:p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копию документа в МФЦ;</w:t>
            </w:r>
            <w:r/>
          </w:p>
          <w:p>
            <w:pPr>
              <w:jc w:val="both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в электронном виде в формате переносимого документа (PDF) на Едином портале, Региональном портале</w:t>
            </w:r>
            <w:r/>
          </w:p>
        </w:tc>
      </w:tr>
      <w:tr>
        <w:trPr>
          <w:trHeight w:val="1197"/>
        </w:trPr>
        <w:tc>
          <w:tcPr>
            <w:tcW w:w="602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1.</w:t>
            </w:r>
            <w:r>
              <w:rPr>
                <w:color w:val="22272F"/>
                <w:sz w:val="24"/>
                <w:szCs w:val="24"/>
              </w:rPr>
              <w:t xml:space="preserve">4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color w:val="22272F"/>
                <w:sz w:val="24"/>
                <w:szCs w:val="24"/>
              </w:rPr>
              <w:t xml:space="preserve">1А-4А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jc w:val="both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схему размещения мест (площадок) накопления ТКО на карте</w:t>
            </w:r>
            <w:r>
              <w:rPr>
                <w:rFonts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4247" w:type="dxa"/>
            <w:textDirection w:val="lrTb"/>
            <w:noWrap w:val="false"/>
          </w:tcPr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подлинник на бумажном носителе в </w:t>
            </w:r>
            <w:r>
              <w:rPr>
                <w:sz w:val="24"/>
                <w:szCs w:val="24"/>
              </w:rPr>
              <w:t xml:space="preserve">Управление</w:t>
            </w:r>
            <w:r>
              <w:rPr>
                <w:sz w:val="24"/>
                <w:szCs w:val="24"/>
              </w:rPr>
              <w:t xml:space="preserve">;</w:t>
            </w:r>
            <w:r/>
          </w:p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подлинник на бумажном носителе в МФЦ;</w:t>
            </w:r>
            <w:r/>
          </w:p>
          <w:p>
            <w:pPr>
              <w:jc w:val="both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в электронном виде в формате переносимого документа (PDF) на Едином портале, Региональном портале</w:t>
            </w:r>
            <w:r/>
          </w:p>
        </w:tc>
      </w:tr>
      <w:tr>
        <w:trPr>
          <w:trHeight w:val="205"/>
        </w:trPr>
        <w:tc>
          <w:tcPr>
            <w:tcW w:w="602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1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2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W w:w="4247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613"/>
        </w:trPr>
        <w:tc>
          <w:tcPr>
            <w:gridSpan w:val="4"/>
            <w:tcW w:w="9629" w:type="dxa"/>
            <w:textDirection w:val="lrTb"/>
            <w:noWrap w:val="false"/>
          </w:tcPr>
          <w:p>
            <w:pPr>
              <w:pStyle w:val="679"/>
              <w:jc w:val="center"/>
              <w:outlineLvl w:val="2"/>
            </w:pPr>
            <w:r>
              <w:t xml:space="preserve">2. Исчерпывающий перечень документов, необходимых для предоставления Муниципальной услуги, которые </w:t>
            </w:r>
            <w:r>
              <w:t xml:space="preserve">з</w:t>
            </w:r>
            <w:r>
              <w:t xml:space="preserve">аявитель вправе представить </w:t>
            </w:r>
            <w:r/>
          </w:p>
          <w:p>
            <w:pPr>
              <w:pStyle w:val="679"/>
              <w:jc w:val="center"/>
              <w:rPr>
                <w:sz w:val="24"/>
                <w:szCs w:val="24"/>
              </w:rPr>
              <w:outlineLvl w:val="2"/>
            </w:pPr>
            <w:r>
              <w:t xml:space="preserve">по собственной инициативе</w:t>
            </w:r>
            <w:r/>
          </w:p>
        </w:tc>
      </w:tr>
      <w:tr>
        <w:trPr>
          <w:trHeight w:val="470"/>
        </w:trPr>
        <w:tc>
          <w:tcPr>
            <w:tcW w:w="602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2.1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1А-4А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pStyle w:val="676"/>
              <w:jc w:val="both"/>
              <w:spacing w:lineRule="atLeast" w:line="288" w:after="0" w:afterAutospacing="0" w:before="0" w:beforeAutospacing="0"/>
            </w:pPr>
            <w:r>
              <w:t xml:space="preserve">Выписка из Единого государственного реестра юридических лиц</w:t>
            </w:r>
            <w:r>
              <w:t xml:space="preserve">, 1 экземпляр </w:t>
            </w:r>
            <w:r>
              <w:t xml:space="preserve"> </w:t>
            </w:r>
            <w:r/>
          </w:p>
        </w:tc>
        <w:tc>
          <w:tcPr>
            <w:tcW w:w="4247" w:type="dxa"/>
            <w:textDirection w:val="lrTb"/>
            <w:noWrap w:val="false"/>
          </w:tcPr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>
              <w:rPr>
                <w:sz w:val="24"/>
                <w:szCs w:val="24"/>
              </w:rPr>
              <w:t xml:space="preserve">копия </w:t>
            </w:r>
            <w:r>
              <w:rPr>
                <w:sz w:val="24"/>
                <w:szCs w:val="24"/>
              </w:rPr>
              <w:t xml:space="preserve">на бумажном носителе в </w:t>
            </w:r>
            <w:r>
              <w:rPr>
                <w:sz w:val="24"/>
                <w:szCs w:val="24"/>
              </w:rPr>
              <w:t xml:space="preserve">Управление</w:t>
            </w:r>
            <w:r>
              <w:rPr>
                <w:sz w:val="24"/>
                <w:szCs w:val="24"/>
              </w:rPr>
              <w:t xml:space="preserve">;</w:t>
            </w:r>
            <w:r/>
          </w:p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 xml:space="preserve">копия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бумажном носителе в МФЦ;</w:t>
            </w:r>
            <w:r/>
          </w:p>
          <w:p>
            <w:pPr>
              <w:jc w:val="both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электронная форма Заявления на Едином портале, Региональном портале</w:t>
            </w:r>
            <w:r/>
          </w:p>
        </w:tc>
      </w:tr>
      <w:tr>
        <w:trPr>
          <w:trHeight w:val="1583"/>
        </w:trPr>
        <w:tc>
          <w:tcPr>
            <w:tcW w:w="602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2.2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1А-4А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jc w:val="both"/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индивидуальных предпринимателей-в отношении индивидуальных предпринимателей,</w:t>
            </w:r>
            <w:r>
              <w:rPr>
                <w:sz w:val="24"/>
                <w:szCs w:val="24"/>
              </w:rPr>
              <w:t xml:space="preserve">                         </w:t>
            </w:r>
            <w:r>
              <w:rPr>
                <w:rFonts w:cs="Times New Roman" w:eastAsia="Times New Roman"/>
                <w:sz w:val="24"/>
                <w:szCs w:val="24"/>
                <w:lang w:eastAsia="ru-RU"/>
              </w:rPr>
              <w:t xml:space="preserve">1 экземпляр </w:t>
            </w:r>
            <w:r/>
          </w:p>
        </w:tc>
        <w:tc>
          <w:tcPr>
            <w:tcW w:w="4247" w:type="dxa"/>
            <w:textDirection w:val="lrTb"/>
            <w:noWrap w:val="false"/>
          </w:tcPr>
          <w:p>
            <w:pPr>
              <w:pStyle w:val="679"/>
              <w:jc w:val="both"/>
            </w:pPr>
            <w:r>
              <w:rPr>
                <w:sz w:val="24"/>
                <w:szCs w:val="24"/>
              </w:rPr>
              <w:t xml:space="preserve">1) </w:t>
            </w:r>
            <w:r>
              <w:rPr>
                <w:sz w:val="24"/>
                <w:szCs w:val="24"/>
              </w:rPr>
              <w:t xml:space="preserve">копия </w:t>
            </w:r>
            <w:r>
              <w:rPr>
                <w:sz w:val="24"/>
                <w:szCs w:val="24"/>
              </w:rPr>
              <w:t xml:space="preserve">на бумажном носителе в </w:t>
            </w:r>
            <w:r>
              <w:rPr>
                <w:sz w:val="24"/>
                <w:szCs w:val="24"/>
              </w:rPr>
              <w:t xml:space="preserve">Управление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679"/>
              <w:jc w:val="both"/>
            </w:pPr>
            <w:r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 xml:space="preserve">копия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бумажном носителе в МФЦ;</w:t>
            </w:r>
            <w:r>
              <w:rPr>
                <w:sz w:val="24"/>
                <w:szCs w:val="24"/>
              </w:rPr>
            </w:r>
            <w:r/>
          </w:p>
          <w:p>
            <w:pPr>
              <w:jc w:val="both"/>
              <w:spacing w:after="0"/>
              <w:rPr>
                <w:color w:val="22272F"/>
              </w:rPr>
            </w:pPr>
            <w:r>
              <w:rPr>
                <w:sz w:val="24"/>
                <w:szCs w:val="24"/>
              </w:rPr>
              <w:t xml:space="preserve">3) электронная форма Заявления на Едином портале, Региональном портале</w:t>
            </w:r>
            <w:r>
              <w:rPr>
                <w:color w:val="22272F"/>
                <w:sz w:val="24"/>
                <w:szCs w:val="24"/>
              </w:rPr>
            </w:r>
            <w:r/>
          </w:p>
          <w:p>
            <w:pPr>
              <w:jc w:val="both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</w:r>
            <w:r/>
          </w:p>
        </w:tc>
      </w:tr>
      <w:tr>
        <w:trPr>
          <w:trHeight w:val="483"/>
        </w:trPr>
        <w:tc>
          <w:tcPr>
            <w:gridSpan w:val="4"/>
            <w:tcW w:w="9629" w:type="dxa"/>
            <w:textDirection w:val="lrTb"/>
            <w:noWrap w:val="false"/>
          </w:tcPr>
          <w:p>
            <w:pPr>
              <w:pStyle w:val="679"/>
              <w:jc w:val="center"/>
            </w:pPr>
            <w:r>
              <w:t xml:space="preserve">3</w:t>
            </w:r>
            <w:r>
              <w:t xml:space="preserve">. Исчерпывающий перечень документов, необходимых для исправления опечаток </w:t>
            </w:r>
            <w:r/>
          </w:p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t xml:space="preserve">и (или) ошибок</w:t>
            </w:r>
            <w:r/>
          </w:p>
        </w:tc>
      </w:tr>
      <w:tr>
        <w:trPr>
          <w:trHeight w:val="903"/>
        </w:trPr>
        <w:tc>
          <w:tcPr>
            <w:tcW w:w="602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3</w:t>
            </w:r>
            <w:r>
              <w:rPr>
                <w:color w:val="22272F"/>
                <w:sz w:val="24"/>
                <w:szCs w:val="24"/>
              </w:rPr>
              <w:t xml:space="preserve">.1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1А-4А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jc w:val="left"/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</w:t>
            </w:r>
            <w:bookmarkStart w:id="0" w:name="_GoBack"/>
            <w:r/>
            <w:bookmarkEnd w:id="0"/>
            <w:r>
              <w:rPr>
                <w:sz w:val="24"/>
                <w:szCs w:val="24"/>
              </w:rPr>
              <w:t xml:space="preserve">аявление об исправлении ошибок</w:t>
            </w:r>
            <w:r>
              <w:rPr>
                <w:sz w:val="24"/>
                <w:szCs w:val="24"/>
              </w:rPr>
              <w:t xml:space="preserve">,               1 экземпляр </w:t>
            </w:r>
            <w:r/>
          </w:p>
        </w:tc>
        <w:tc>
          <w:tcPr>
            <w:tcW w:w="4247" w:type="dxa"/>
            <w:textDirection w:val="lrTb"/>
            <w:noWrap w:val="false"/>
          </w:tcPr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подлинник на бумажном </w:t>
            </w:r>
            <w:r>
              <w:rPr>
                <w:sz w:val="24"/>
                <w:szCs w:val="24"/>
              </w:rPr>
              <w:t xml:space="preserve">носителе в </w:t>
            </w:r>
            <w:r>
              <w:rPr>
                <w:sz w:val="24"/>
                <w:szCs w:val="24"/>
              </w:rPr>
              <w:t xml:space="preserve">Управление</w:t>
            </w:r>
            <w:r>
              <w:rPr>
                <w:sz w:val="24"/>
                <w:szCs w:val="24"/>
              </w:rPr>
              <w:t xml:space="preserve">;</w:t>
            </w:r>
            <w:r/>
          </w:p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 xml:space="preserve">подлинник </w:t>
            </w:r>
            <w:r>
              <w:rPr>
                <w:sz w:val="24"/>
                <w:szCs w:val="24"/>
              </w:rPr>
              <w:t xml:space="preserve">на бумажном носителе в МФЦ;</w:t>
            </w:r>
            <w:r/>
          </w:p>
        </w:tc>
      </w:tr>
      <w:tr>
        <w:trPr>
          <w:trHeight w:val="903"/>
        </w:trPr>
        <w:tc>
          <w:tcPr>
            <w:tcW w:w="602" w:type="dxa"/>
            <w:textDirection w:val="lrTb"/>
            <w:noWrap w:val="false"/>
          </w:tcPr>
          <w:p>
            <w:pPr>
              <w:pStyle w:val="679"/>
              <w:jc w:val="center"/>
            </w:pPr>
            <w:r>
              <w:t xml:space="preserve">3.2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pStyle w:val="679"/>
              <w:jc w:val="center"/>
            </w:pPr>
            <w:r>
              <w:t xml:space="preserve">1А-4А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pStyle w:val="679"/>
              <w:jc w:val="both"/>
            </w:pPr>
            <w:r>
              <w:t xml:space="preserve">о</w:t>
            </w:r>
            <w:r>
              <w:t xml:space="preserve">ригинал документа, выданного в результате предоставления </w:t>
            </w:r>
            <w:r>
              <w:t xml:space="preserve">Муни-ципальной</w:t>
            </w:r>
            <w:r>
              <w:t xml:space="preserve"> услуги (в </w:t>
            </w:r>
            <w:r>
              <w:t xml:space="preserve">слу</w:t>
            </w:r>
            <w:r>
              <w:t xml:space="preserve">-чае выдачи его Заяви-</w:t>
            </w:r>
            <w:r>
              <w:t xml:space="preserve">телю</w:t>
            </w:r>
            <w:r>
              <w:t xml:space="preserve"> на бумажном носи-теле)</w:t>
            </w:r>
            <w:r/>
          </w:p>
        </w:tc>
        <w:tc>
          <w:tcPr>
            <w:tcW w:w="4247" w:type="dxa"/>
            <w:textDirection w:val="lrTb"/>
            <w:noWrap w:val="false"/>
          </w:tcPr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подлинник на бумажном носителе в Управление;</w:t>
            </w:r>
            <w:r/>
          </w:p>
          <w:p>
            <w:pPr>
              <w:pStyle w:val="679"/>
            </w:pPr>
            <w:r>
              <w:rPr>
                <w:sz w:val="24"/>
                <w:szCs w:val="24"/>
              </w:rPr>
              <w:t xml:space="preserve">2) подлинник на бумажном носителе в МФЦ</w:t>
            </w:r>
            <w:r/>
          </w:p>
        </w:tc>
      </w:tr>
    </w:tbl>
    <w:p>
      <w:pPr>
        <w:ind w:firstLine="709"/>
        <w:spacing w:lineRule="auto" w:line="240" w:after="0"/>
        <w:widowControl w:val="off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firstLine="709"/>
        <w:spacing w:lineRule="auto" w:line="240" w:after="0"/>
        <w:widowControl w:val="off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/>
        </w:rPr>
      </w:pP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Начальник управления </w:t>
      </w:r>
      <w:r>
        <w:rPr>
          <w:rFonts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/>
        </w:rPr>
      </w:pPr>
      <w:r>
        <w:rPr>
          <w:rFonts w:cs="Times New Roman" w:eastAsiaTheme="minorEastAsia"/>
          <w:sz w:val="28"/>
          <w:szCs w:val="28"/>
        </w:rPr>
        <w:t xml:space="preserve">жилищно-коммунального </w:t>
      </w:r>
      <w:r>
        <w:rPr>
          <w:rFonts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lang w:eastAsia="ru-RU"/>
        </w:rPr>
      </w:pPr>
      <w:r>
        <w:rPr>
          <w:rFonts w:cs="Times New Roman" w:eastAsiaTheme="minorEastAsia"/>
          <w:sz w:val="28"/>
          <w:szCs w:val="28"/>
        </w:rPr>
        <w:t xml:space="preserve">хозяйства, транспорта и связи</w:t>
      </w: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                                                             Ю.Н. Калинин</w:t>
      </w:r>
      <w:r>
        <w:rPr>
          <w:rFonts w:cs="Times New Roman" w:eastAsia="Times New Roman" w:eastAsiaTheme="minorEastAsia"/>
          <w:sz w:val="28"/>
          <w:szCs w:val="28"/>
          <w:lang w:eastAsia="ru-RU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                                      </w:t>
      </w: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6" w:bottom="851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Segoe UI">
    <w:panose1 w:val="020B0502040204020203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90880425"/>
      <w:docPartObj>
        <w:docPartGallery w:val="Page Numbers (Top of Page)"/>
        <w:docPartUnique w:val="true"/>
      </w:docPartObj>
      <w:rPr/>
    </w:sdtPr>
    <w:sdtContent>
      <w:p>
        <w:pPr>
          <w:pStyle w:val="66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6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jc w:val="both"/>
        <w:spacing w:lineRule="auto" w:line="276" w:after="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0"/>
    <w:next w:val="660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61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60"/>
    <w:next w:val="66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6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60"/>
    <w:next w:val="66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6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0"/>
    <w:next w:val="660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6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0"/>
    <w:next w:val="66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6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0"/>
    <w:next w:val="66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6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0"/>
    <w:next w:val="66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6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0"/>
    <w:next w:val="66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6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0"/>
    <w:next w:val="66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6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60"/>
    <w:next w:val="66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61"/>
    <w:link w:val="32"/>
    <w:uiPriority w:val="10"/>
    <w:rPr>
      <w:sz w:val="48"/>
      <w:szCs w:val="48"/>
    </w:rPr>
  </w:style>
  <w:style w:type="paragraph" w:styleId="34">
    <w:name w:val="Subtitle"/>
    <w:basedOn w:val="660"/>
    <w:next w:val="66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61"/>
    <w:link w:val="34"/>
    <w:uiPriority w:val="11"/>
    <w:rPr>
      <w:sz w:val="24"/>
      <w:szCs w:val="24"/>
    </w:rPr>
  </w:style>
  <w:style w:type="paragraph" w:styleId="36">
    <w:name w:val="Quote"/>
    <w:basedOn w:val="660"/>
    <w:next w:val="66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0"/>
    <w:next w:val="660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61"/>
    <w:link w:val="664"/>
    <w:uiPriority w:val="99"/>
  </w:style>
  <w:style w:type="character" w:styleId="43">
    <w:name w:val="Footer Char"/>
    <w:basedOn w:val="661"/>
    <w:link w:val="666"/>
    <w:uiPriority w:val="99"/>
  </w:style>
  <w:style w:type="paragraph" w:styleId="44">
    <w:name w:val="Caption"/>
    <w:basedOn w:val="660"/>
    <w:next w:val="66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66"/>
    <w:uiPriority w:val="99"/>
  </w:style>
  <w:style w:type="table" w:styleId="47">
    <w:name w:val="Table Grid Light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6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60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61"/>
    <w:uiPriority w:val="99"/>
    <w:unhideWhenUsed/>
    <w:rPr>
      <w:vertAlign w:val="superscript"/>
    </w:rPr>
  </w:style>
  <w:style w:type="paragraph" w:styleId="176">
    <w:name w:val="endnote text"/>
    <w:basedOn w:val="660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61"/>
    <w:uiPriority w:val="99"/>
    <w:semiHidden/>
    <w:unhideWhenUsed/>
    <w:rPr>
      <w:vertAlign w:val="superscript"/>
    </w:rPr>
  </w:style>
  <w:style w:type="paragraph" w:styleId="179">
    <w:name w:val="toc 1"/>
    <w:basedOn w:val="660"/>
    <w:next w:val="66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0"/>
    <w:next w:val="66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0"/>
    <w:next w:val="66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0"/>
    <w:next w:val="66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0"/>
    <w:next w:val="66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0"/>
    <w:next w:val="66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0"/>
    <w:next w:val="66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0"/>
    <w:next w:val="66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0"/>
    <w:next w:val="66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0"/>
    <w:next w:val="660"/>
    <w:uiPriority w:val="99"/>
    <w:unhideWhenUsed/>
    <w:pPr>
      <w:spacing w:after="0" w:afterAutospacing="0"/>
    </w:pPr>
  </w:style>
  <w:style w:type="paragraph" w:styleId="660" w:default="1">
    <w:name w:val="Normal"/>
    <w:qFormat/>
    <w:rPr>
      <w:rFonts w:ascii="Times New Roman" w:hAnsi="Times New Roman"/>
      <w:sz w:val="28"/>
    </w:rPr>
    <w:pPr>
      <w:jc w:val="left"/>
      <w:spacing w:after="200"/>
    </w:pPr>
  </w:style>
  <w:style w:type="character" w:styleId="661" w:default="1">
    <w:name w:val="Default Paragraph Font"/>
    <w:uiPriority w:val="1"/>
    <w:semiHidden/>
    <w:unhideWhenUsed/>
  </w:style>
  <w:style w:type="table" w:styleId="6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3" w:default="1">
    <w:name w:val="No List"/>
    <w:uiPriority w:val="99"/>
    <w:semiHidden/>
    <w:unhideWhenUsed/>
  </w:style>
  <w:style w:type="paragraph" w:styleId="664">
    <w:name w:val="Header"/>
    <w:basedOn w:val="660"/>
    <w:link w:val="665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65" w:customStyle="1">
    <w:name w:val="Верхний колонтитул Знак"/>
    <w:basedOn w:val="661"/>
    <w:link w:val="664"/>
    <w:uiPriority w:val="99"/>
    <w:rPr>
      <w:rFonts w:ascii="Times New Roman" w:hAnsi="Times New Roman"/>
      <w:sz w:val="28"/>
    </w:rPr>
  </w:style>
  <w:style w:type="paragraph" w:styleId="666">
    <w:name w:val="Footer"/>
    <w:basedOn w:val="660"/>
    <w:link w:val="667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67" w:customStyle="1">
    <w:name w:val="Нижний колонтитул Знак"/>
    <w:basedOn w:val="661"/>
    <w:link w:val="666"/>
    <w:uiPriority w:val="99"/>
    <w:semiHidden/>
    <w:rPr>
      <w:rFonts w:ascii="Times New Roman" w:hAnsi="Times New Roman"/>
      <w:sz w:val="28"/>
    </w:rPr>
  </w:style>
  <w:style w:type="character" w:styleId="668" w:customStyle="1">
    <w:name w:val="blk"/>
    <w:basedOn w:val="661"/>
  </w:style>
  <w:style w:type="paragraph" w:styleId="669">
    <w:name w:val="HTML Preformatted"/>
    <w:basedOn w:val="660"/>
    <w:link w:val="670"/>
    <w:uiPriority w:val="99"/>
    <w:semiHidden/>
    <w:unhideWhenUsed/>
    <w:rPr>
      <w:rFonts w:ascii="Courier New" w:hAnsi="Courier New" w:cs="Courier New" w:eastAsia="Times New Roman"/>
      <w:sz w:val="20"/>
      <w:szCs w:val="20"/>
      <w:lang w:eastAsia="ru-RU"/>
    </w:rPr>
    <w:pPr>
      <w:spacing w:lineRule="auto" w:line="240" w:after="0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</w:style>
  <w:style w:type="character" w:styleId="670" w:customStyle="1">
    <w:name w:val="Стандартный HTML Знак"/>
    <w:basedOn w:val="661"/>
    <w:link w:val="669"/>
    <w:uiPriority w:val="99"/>
    <w:semiHidden/>
    <w:rPr>
      <w:rFonts w:ascii="Courier New" w:hAnsi="Courier New" w:cs="Courier New" w:eastAsia="Times New Roman"/>
      <w:sz w:val="20"/>
      <w:szCs w:val="20"/>
      <w:lang w:eastAsia="ru-RU"/>
    </w:rPr>
  </w:style>
  <w:style w:type="character" w:styleId="671">
    <w:name w:val="HTML Typewriter"/>
    <w:basedOn w:val="661"/>
    <w:uiPriority w:val="99"/>
    <w:semiHidden/>
    <w:unhideWhenUsed/>
    <w:rPr>
      <w:rFonts w:ascii="Courier New" w:hAnsi="Courier New" w:cs="Courier New" w:eastAsia="Times New Roman"/>
      <w:sz w:val="20"/>
      <w:szCs w:val="20"/>
    </w:rPr>
  </w:style>
  <w:style w:type="paragraph" w:styleId="672">
    <w:name w:val="List Paragraph"/>
    <w:basedOn w:val="660"/>
    <w:qFormat/>
    <w:uiPriority w:val="99"/>
    <w:pPr>
      <w:contextualSpacing w:val="true"/>
      <w:ind w:left="720"/>
    </w:pPr>
  </w:style>
  <w:style w:type="paragraph" w:styleId="673">
    <w:name w:val="Balloon Text"/>
    <w:basedOn w:val="660"/>
    <w:link w:val="674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674" w:customStyle="1">
    <w:name w:val="Текст выноски Знак"/>
    <w:basedOn w:val="661"/>
    <w:link w:val="673"/>
    <w:uiPriority w:val="99"/>
    <w:semiHidden/>
    <w:rPr>
      <w:rFonts w:ascii="Segoe UI" w:hAnsi="Segoe UI" w:cs="Segoe UI"/>
      <w:sz w:val="18"/>
      <w:szCs w:val="18"/>
    </w:rPr>
  </w:style>
  <w:style w:type="character" w:styleId="675">
    <w:name w:val="Hyperlink"/>
    <w:uiPriority w:val="99"/>
    <w:rPr>
      <w:color w:val="0000FF"/>
      <w:u w:val="single"/>
    </w:rPr>
  </w:style>
  <w:style w:type="paragraph" w:styleId="676">
    <w:name w:val="Normal (Web)"/>
    <w:basedOn w:val="660"/>
    <w:uiPriority w:val="99"/>
    <w:unhideWhenUsed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677" w:customStyle="1">
    <w:name w:val="Символы концевой сноски"/>
    <w:rPr>
      <w:vertAlign w:val="superscript"/>
    </w:rPr>
  </w:style>
  <w:style w:type="table" w:styleId="678">
    <w:name w:val="Table Grid"/>
    <w:basedOn w:val="662"/>
    <w:uiPriority w:val="59"/>
    <w:pPr>
      <w:spacing w:lineRule="auto" w:line="24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679" w:customStyle="1">
    <w:name w:val="ConsPlusNormal"/>
    <w:rPr>
      <w:rFonts w:ascii="Times New Roman" w:hAnsi="Times New Roman" w:cs="Times New Roman" w:eastAsia="Times New Roman"/>
      <w:sz w:val="24"/>
      <w:szCs w:val="20"/>
      <w:lang w:eastAsia="ru-RU"/>
    </w:rPr>
    <w:pPr>
      <w:jc w:val="left"/>
      <w:spacing w:lineRule="auto" w:line="240"/>
      <w:widowControl w:val="off"/>
    </w:pPr>
  </w:style>
  <w:style w:type="paragraph" w:styleId="680" w:customStyle="1">
    <w:name w:val="ConsPlusTitle"/>
    <w:rPr>
      <w:rFonts w:ascii="Arial" w:hAnsi="Arial" w:cs="Arial" w:eastAsia="Times New Roman"/>
      <w:b/>
      <w:sz w:val="24"/>
      <w:szCs w:val="20"/>
      <w:lang w:eastAsia="ru-RU"/>
    </w:rPr>
    <w:pPr>
      <w:jc w:val="left"/>
      <w:spacing w:lineRule="auto" w:line="240"/>
      <w:widowControl w:val="off"/>
    </w:pPr>
  </w:style>
  <w:style w:type="paragraph" w:styleId="681" w:customStyle="1">
    <w:name w:val="ConsPlusJurTerm"/>
    <w:rPr>
      <w:rFonts w:ascii="Tahoma" w:hAnsi="Tahoma" w:cs="Tahoma" w:eastAsia="Times New Roman"/>
      <w:sz w:val="26"/>
      <w:szCs w:val="20"/>
      <w:lang w:eastAsia="ru-RU"/>
    </w:rPr>
    <w:pPr>
      <w:jc w:val="left"/>
      <w:spacing w:lineRule="auto" w:line="240"/>
      <w:widowControl w:val="off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6</cp:revision>
  <dcterms:created xsi:type="dcterms:W3CDTF">2025-11-24T10:14:00Z</dcterms:created>
  <dcterms:modified xsi:type="dcterms:W3CDTF">2026-03-17T15:16:59Z</dcterms:modified>
</cp:coreProperties>
</file>